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6D" w:rsidRPr="00B240DA" w:rsidRDefault="0001116D" w:rsidP="0001116D">
      <w:pPr>
        <w:pStyle w:val="1"/>
        <w:spacing w:before="450" w:beforeAutospacing="0" w:after="450" w:afterAutospacing="0"/>
        <w:ind w:left="450" w:right="450"/>
        <w:rPr>
          <w:rFonts w:ascii="Tahoma" w:hAnsi="Tahoma" w:cs="Tahoma"/>
          <w:color w:val="474747"/>
          <w:sz w:val="27"/>
          <w:szCs w:val="27"/>
        </w:rPr>
      </w:pPr>
      <w:r w:rsidRPr="00B240DA">
        <w:rPr>
          <w:rFonts w:ascii="Tahoma" w:hAnsi="Tahoma" w:cs="Tahoma"/>
          <w:color w:val="474747"/>
          <w:sz w:val="27"/>
          <w:szCs w:val="27"/>
        </w:rPr>
        <w:t>КОНСТРУКТИВНОЕ ОБЕСПЕЧЕНИЕ ПЛАВУЧЕСТИ, ОСТОЙЧИВОСТИ И НЕПОТОПЛЯЕМОСТИ СУДНА.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Основой судна является его водонепроницаемый корпус, состоящий из наружной обшивки и настила верхней палубы, 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подкрепленных</w:t>
      </w:r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поперечными и продольными переборками и балками набора. Корпус обеспечивает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плавучесть судна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способность находиться в равновесии без опоры при погружении его в воду. Для того чтобы судно находилось на поверхности воды, оно должно обладать положительной плавучестью, т.е. иметь некоторый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запас плавучести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объем непроницаемой для воды надводной части корпуса, включающий также водонепроницаемые надстройки и рубки.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Запас плавучести определяет то количество воды, которое судно может принять до его полного погружения. Надлежащая величина запаса плавучести обеспечивается при проектировании и постройке судна и должна выдерживаться в процессе его эксплуатации. Выраженная в долях объемного водоизмещения, она составляет для сухогрузных судов 0,3 – 0,5, для танкеров 0,15 – 0, 25, для пассажирских судов 0,8 – 1,0.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Запас плавучести задается по Правилам Российского морского регистра судоходства (или другого классификационного общества)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высотой надводного борта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. Она назначается в зависимости от длины судна, длины и высоты надстроек, рубок и других палубных конструкций, не доходящих до бортов судна (комингсов люков и машинных шахт и т.п.), </w:t>
      </w:r>
      <w:proofErr w:type="spell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седловатости</w:t>
      </w:r>
      <w:proofErr w:type="spell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ряда других факторов.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Высота надводного борта отмеряется от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грузовой (конструктивной) ватерлинии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до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палубы надводного борта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обычно самой верхней непрерывной палубы, не защищенной от воздействия моря и погоды, которая имеет постоянные средства закрытия всех отверстий на ее открытых частях и ниже которой все отверстия в бортах снабжены постоянными средствами для водонепроницаемого закрытия. Грузовая ватерлиния отвечает осадке судна с полным грузом; при этом расчетная плотность забортной воды обычно принимается 1,025 т/м</w:t>
      </w:r>
      <w:r w:rsidRPr="00B240DA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3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Конструктивная ватерлиния лежит в основе построения теоретического чертежа судна и соответствует полученному расчетом полному водоизмещению судна. Она используется, в частности, при проектировании судов, не предназначенных для перевозки грузов.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Допустимую осадку судна для различных районов и условий плавания определяет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грузовая марка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система знаков, наносимых на наружную поверхность бортовой обшивки борт судна вблизи миделя.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Палубная линия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горизонтальная линия длиной 300 мм и шириной 25 мм отмечает положение верхней поверхности палубы надводного борта. От верхней кромки палубной линии вертикально вниз откладывается высота назначенного судну надводного борта и наносится горизонтальная линия длиной 450 мм. Эта линия вместе с кругом диаметром 300 мм с центром в середине ее верхней кромки представляет собой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знак грузовой марки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От центра круга на расстоянии 540 мм в сторону носа судна наносятся линии – </w:t>
      </w:r>
      <w:r w:rsidRPr="00B240DA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грузовые марки, отмечающие грузовые ватерлинии судна в различных зонах, районах и в разные сезонные периоды плавания.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На судах, совершающих международные рейсы, наносятся следующие грузовые марки: Л – летняя грузовая марка; 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З</w:t>
      </w:r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зимняя грузовая марка; ЗСА – зимняя грузовая марка для Северной Атлантики; П – грузовая марка для пресной воды; Т – тропическая грузовая марка; ТП – тропическая грузовая марка для пресной воды.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Соответствующая грузовая марка не должна быть погружена в воду на протяжении всего времени плавания. Не допускается выход в море судов, высота надводного борта которых меньше установленной для данного сезона, зоны или района плавания.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 xml:space="preserve">Правилами Регистра определено следующее деление судов по допущенным для них районам плавания: суда неограниченного района плавания; суда ограниченного района плавания I: плавание в морских районах на волнении с максимально допустимой высотой волны 3-процентной обеспеченности 8,5 м (три волны из 100 имеют высоту 8,5 м и более), с удалением от места убежища не более 200 миль и с допустимым расстоянием между местами убежища не более 400 </w:t>
      </w:r>
      <w:proofErr w:type="spell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миль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;с</w:t>
      </w:r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уда</w:t>
      </w:r>
      <w:proofErr w:type="spell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ограниченного района плавания II: плавание в морских районах на 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волнении с максимально допустимой высотой волны 3-процентной обеспеченности 7,0 м, с удалением от места убежища не более 100 миль и с допустимым расстоянием между местами убежища не более 200 миль; суда ограниченного района плавания III: прибрежное, рейдовое и портовое плавание в границах, установленных Регистром в каждом случае.</w:t>
      </w:r>
      <w:proofErr w:type="gramEnd"/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Судам, которые были освидетельствованы в соответствии с Правилами Регистра о грузовой марке морских судов, выдается: международное свидетельство о грузовой марке – каждому судну, подпадающему под действие Международной конвенции о грузовой марке 1966 г.; свидетельство о грузовой марке соответствующего района плавания – прочим судам.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Положения о грузовой марке применяются к каждому судну, которому назначен минимальный надводный борт.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Надводный борт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расстояние, измеренное по вертикали у борта на середине длины судна от верхней кромки палубной линии до верхней кромки соответствующей грузовой марки.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Палуба надводного борта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это самая верхняя непрерывная, не защищенная от воздействия моря и погоды палуба, которая имеет постоянные средства закрытия всех отверстий на ее открытых частях и ниже которой все отверстия в бортах судна снабжены постоянными средствами для водонепроницаемого закрытия.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Назначенный судну надводный борт фиксируется путем нанесения на каждом борту судна отметки </w:t>
      </w:r>
      <w:r w:rsidRPr="00B240DA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палубной линии, знака грузовой марки и марок углубления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отмечающих наибольшие осадки, до которых судно может быть максимально нагружено при различных условиях плавания.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Грузовая марка, соответствующая сезону, не должна быть погружена в воду на протяжении всего периода от момента выхода из порта до прихода в следующий порт.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Судам, на борта которых нанесены грузовые марки, выдается Международное свидетельство о грузовой марке на срок не более чем на 5 лет.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b/>
          <w:bCs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5486400" cy="2011680"/>
            <wp:effectExtent l="0" t="0" r="0" b="7620"/>
            <wp:docPr id="136" name="Рисунок 136" descr="https://helpiks.org/helpiksorg/baza6/892728052439.files/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892728052439.files/image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  <w:t>Рис. 129. Грузовая марка.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Применяются следующие грузовые марки: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- летняя грузовая марка – Л (S);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- зимняя грузовая марка – 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З</w:t>
      </w:r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(W);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- зимняя грузовая марка для Северной Атлантики – ЗСА (WNA);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- тропическая грузовая марка – T (T);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- грузовая марка для пресной воды – </w:t>
      </w:r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</w:t>
      </w:r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(F);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- тропическая марка для пресной воды – ТП (TF).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Обозначение организации, назначившей грузовую марку, наносится над горизонтальной линией, проходящей через центр кольца знака (диск </w:t>
      </w:r>
      <w:proofErr w:type="spell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Плимсоля</w:t>
      </w:r>
      <w:proofErr w:type="spell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). Обозначение Регистра судоходства Российской Федерации – РС.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Различают грузовые марки для лесовозов, пассажирских и парусных судов.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Марки углубления</w:t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 предназначены для определения осадки судна, наносятся на наружной обшивке обоих бортов судна в районе форштевня, ахтерштевня и на </w:t>
      </w:r>
      <w:proofErr w:type="spellStart"/>
      <w:proofErr w:type="gramStart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мидель-шпангоуте</w:t>
      </w:r>
      <w:proofErr w:type="spellEnd"/>
      <w:proofErr w:type="gramEnd"/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Марки углубления отмечаются арабскими цифрами высотой 10 см (расстояние между основаниями цифр также 10 см) и определяют расстояние от действующей ватерлинии до нижней кромки горизонтального киля.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До 1969 года марки углубления на левом борту наносили римскими цифрами, высота которых равнялась 6 дюймам. Расстояние между основаниями цифр равно 1 футу (1 фут = 12 дюймам = 30, 48 см; 1 дюйм = 2,54 см).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b/>
          <w:bCs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5486400" cy="2194560"/>
            <wp:effectExtent l="0" t="0" r="0" b="0"/>
            <wp:docPr id="137" name="Рисунок 137" descr="https://helpiks.org/helpiksorg/baza6/892728052439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892728052439.files/image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  <w:t>Рис. 130. Марки углубления.</w:t>
      </w:r>
    </w:p>
    <w:p w:rsidR="0001116D" w:rsidRPr="00B240DA" w:rsidRDefault="0001116D" w:rsidP="0001116D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240DA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966FAC" w:rsidRDefault="00966FAC"/>
    <w:sectPr w:rsidR="00966FAC" w:rsidSect="009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116D"/>
    <w:rsid w:val="0001116D"/>
    <w:rsid w:val="00966FAC"/>
    <w:rsid w:val="00DC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6D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01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6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2021-12-13T13:07:00Z</dcterms:created>
  <dcterms:modified xsi:type="dcterms:W3CDTF">2021-12-13T13:08:00Z</dcterms:modified>
</cp:coreProperties>
</file>