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F2" w:rsidRPr="00015688" w:rsidRDefault="001809F2" w:rsidP="001809F2">
      <w:pPr>
        <w:spacing w:after="0" w:line="240" w:lineRule="auto"/>
        <w:ind w:firstLine="21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Общие сведения о схемах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u w:val="single"/>
          <w:lang w:eastAsia="ru-RU"/>
        </w:rPr>
      </w:pPr>
      <w:r w:rsidRPr="00015688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u w:val="single"/>
          <w:lang w:eastAsia="ru-RU"/>
        </w:rPr>
        <w:t>Схемами называются конструкторские документы, на которых составные части изделия, их взаимное расположение и связи между ними показаны в виде условных графических изображений.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технике широко используются механические, пневматические, гидравлические и электрические устройства и приводы. Изучение принципа и последовательность действия таких устройств по чертежам общих видов и сборочным чертежам часто затруднительно.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кроме чертежей часто составляют специальные схемы, позволяющие значительно быстрее разобраться в принципе и последовательности действия того или иного устройства.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просты по выполнению и достаточно наглядны; они могут быть выполнены в прямоугольных и аксонометрических проекциях.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Масштаб при выполнении схем выбирается произвольный, пропорции между размерами элементов изделия тоже, как правило, не соблюдаются.</w:t>
      </w:r>
    </w:p>
    <w:p w:rsidR="001809F2" w:rsidRPr="00015688" w:rsidRDefault="001809F2" w:rsidP="001809F2">
      <w:pPr>
        <w:spacing w:after="0" w:line="240" w:lineRule="auto"/>
        <w:ind w:firstLine="217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333"/>
          <w:sz w:val="32"/>
          <w:szCs w:val="32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3333"/>
          <w:sz w:val="32"/>
          <w:szCs w:val="32"/>
          <w:lang w:eastAsia="ru-RU"/>
        </w:rPr>
        <w:t>Разновидности схем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типы схем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(кроме электрических)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определены в </w:t>
      </w:r>
      <w:hyperlink r:id="rId5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2.701-84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установлены обозначения схем и общие требования к их выполнению.</w:t>
      </w:r>
    </w:p>
    <w:p w:rsidR="001809F2" w:rsidRPr="00015688" w:rsidRDefault="001809F2" w:rsidP="001809F2">
      <w:pPr>
        <w:spacing w:before="136" w:after="109" w:line="240" w:lineRule="auto"/>
        <w:ind w:firstLine="217"/>
        <w:outlineLvl w:val="3"/>
        <w:rPr>
          <w:rFonts w:ascii="Times New Roman" w:eastAsia="Times New Roman" w:hAnsi="Times New Roman" w:cs="Times New Roman"/>
          <w:b/>
          <w:bCs/>
          <w:i/>
          <w:iCs/>
          <w:color w:val="537B53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537B53"/>
          <w:sz w:val="24"/>
          <w:szCs w:val="24"/>
          <w:lang w:eastAsia="ru-RU"/>
        </w:rPr>
        <w:t>Виды схем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характера элементов и линий связей, входящих в состав устройства, схемы подразделяются на виды, каждый из которых часто обозначается буквой: кинематические -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гидравлические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пневматические – </w:t>
      </w:r>
      <w:proofErr w:type="gram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электрические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оптические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1809F2" w:rsidRPr="00015688" w:rsidRDefault="001809F2" w:rsidP="001809F2">
      <w:pPr>
        <w:spacing w:before="136" w:after="109" w:line="240" w:lineRule="auto"/>
        <w:ind w:firstLine="217"/>
        <w:outlineLvl w:val="3"/>
        <w:rPr>
          <w:rFonts w:ascii="Times New Roman" w:eastAsia="Times New Roman" w:hAnsi="Times New Roman" w:cs="Times New Roman"/>
          <w:b/>
          <w:bCs/>
          <w:i/>
          <w:iCs/>
          <w:color w:val="537B53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537B53"/>
          <w:sz w:val="24"/>
          <w:szCs w:val="24"/>
          <w:lang w:eastAsia="ru-RU"/>
        </w:rPr>
        <w:t>Типы схем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в зависимости от основного назначения делятся на типы, каждый из которых обычно обозначается цифрой: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структурные;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функциональные;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принципиальные;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соединения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(монтажные)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подключения;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общие;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расположения и др.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Структурные схемы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служат для общего ознакомления с изделием и определяют взаимосвязь составных частей изделия и их назначение; элементы схемы вычерчиваются простыми геометрическими фигурами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(прямоугольниками)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прямыми линиями или аналитической записью, попускающей применение </w:t>
      </w:r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ЭВМ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Функциональные схемы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поясняют процессы, протекающие в изделии или в его функциональной части; в них должны быть указаны наименования всех изображенных функциональных частей.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Принципиальные схемы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(полные)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полный состав элементов изделия и связей между ними, давая детальное представление о принципах действия изделия.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Схемы соединений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(монтажные)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показывают соединения составных частей изделия, а также места присоединений и вводов и выявляют провода, кабели, трубопроводы и их арматуру.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Схемы подключения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показывают внешние подключения изделия к коммуникациям или устройствам.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схемы определяется ее видом и типом, например, схема гидравлическая принципиальная, схема электрическая функциональная и т. п.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Шифр схемы, входящий в состав ее обозначения, состоит из буквы, определяющей вид схемы и цифры, определяющей ее тип.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схема гидравлическая принципиальная имеет шифр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Г3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схема электрическая структурная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proofErr w:type="gram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изделия, в состав которого входят элементы разных видов, может быть разработана комбинированная схема, содержащая элементы и связи разных видов. Комбинированная схема обозначается буквой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"С"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ее наименование определяется комбинированными видами и типом.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Например: схема принципиальная гидрокинематическая.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схем применяются следующие термины: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 схемы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составная часть схемы, выполняющая определенную функцию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(назначение)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изделии, которая не может быть разделена на части, имеющие самостоятельное функциональное назначение.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насос, соединительная муфта, конденсатор, резистор и т. п.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Устройство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элементов, представляющих одну конструкцию, например, механизм храповой, печатная плата, шкаф.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Функциональная группа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элементов, выполняющих в изделии определенную функцию и не объединенных в одну конструкцию.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Функциональная часть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элемент, оборудование или функциональная группа.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Линии взаимосвязи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отрезок линии на схеме, показывающий связь между функциональными частями изделия.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схемы масштабы не соблюдаются.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Действительное пространственное расположение составных частей изделия может на схеме не учитываться или учитываться приближенно.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Элементы, входящие в состав изделия, изображаются на схемах, как правило, в виде условных графических обозначений, устанавливаемых стандартами Единой системы конструкторской документации (</w:t>
      </w:r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ЕСКД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Связь между элементами схемы показывается линиями взаимосвязи, которые условно представляют собой коммуникации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(трубопроводы, провода, кабели и т. п.)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кинематические связи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(например, валы)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Условные обозначения элементов общего применения на схемах устанавливает </w:t>
      </w:r>
      <w:hyperlink r:id="rId6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2.721-74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общего применения для использования в электрических, гидравлических, пневматических и комбинированных схемах приведены в таблице</w:t>
      </w:r>
      <w:proofErr w:type="gram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схемах должно быть наименьшее число изломов и пересечений линий связи, изображаемых горизонтальными и вертикальными участками.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Схемы следует выполнять компактно, но без ущерба для ясности и удобства их чтения.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Элементы, составляющие отдельное устройство, допускается выделять на схемах штрихпунктирными тонкими линиями с указанием этого устройства.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схеме одного вида допускается изображать элементы схем других видов, непосредственно влияющих на действие изделия. Эти элементы и их связи изображаются тоже тонкими штрихпунктирными линиями.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Схеме присваивается обозначение того изделия, действие которого отображено на схеме. После этого обозначения записывается шифр схемы. Наименование схемы указывается в основной надписи после наименования изделия.</w:t>
      </w:r>
      <w:r w:rsidRPr="00015688">
        <w:rPr>
          <w:rFonts w:ascii="Arial" w:eastAsia="Times New Roman" w:hAnsi="Arial" w:cs="Arial"/>
          <w:color w:val="000000"/>
          <w:sz w:val="24"/>
          <w:szCs w:val="24"/>
          <w:shd w:val="clear" w:color="auto" w:fill="CCFFCC"/>
          <w:lang w:eastAsia="ru-RU"/>
        </w:rPr>
        <w:t>﻿</w:t>
      </w:r>
    </w:p>
    <w:p w:rsidR="001809F2" w:rsidRPr="00015688" w:rsidRDefault="001809F2" w:rsidP="0018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F2" w:rsidRPr="00015688" w:rsidRDefault="001809F2" w:rsidP="001809F2">
      <w:pPr>
        <w:spacing w:after="0" w:line="240" w:lineRule="auto"/>
        <w:ind w:firstLine="217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Кинематические схемы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Кинематические схемы устанавливают состав механизмов и поясняют взаимодействие их элементов. Условные обозначения на таких схемах представляют собой изображения механизмов и их составных частей, напоминающие их лишь в общих чертах.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элемент, изображенный на схеме условно, должен иметь свое обозначение: порядковый номер или буквенно-цифровое позиционное обозначение. Для каждого вида схем установлены правила нанесения таких обозначений.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гидравлических, пневматических и электрических схемах обозначения заносятся в перечень элементов, оформляемый в виде таблицы, заполняемый сверху вниз. Правила выполнения кинематических схем изложены в </w:t>
      </w:r>
      <w:hyperlink r:id="rId7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2.703-68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Условные графические обозначения элементов машин и механизмов устанавливает </w:t>
      </w:r>
      <w:hyperlink r:id="rId8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2.770-68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кинематических схемах валы, оси, стержни, шатуны, кривошипы и т. п. изображают сплошными основными линиями толщиной </w:t>
      </w:r>
      <w:proofErr w:type="spell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Элементы, изображаемые условно и упрощенно, выполняют сплошными линиями толщиной </w:t>
      </w:r>
      <w:proofErr w:type="spell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/2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Кинематические схемы выполняют, как правило, в виде развертки: все геометрические оси условно считаются расположенными в одной плоскости или в параллельных плоскостях.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Каждому кинематическому элементу, изображенному на схеме, как правило, присваивают порядковый номер, начиная от источника движения. Валы нумеруются римскими цифрами, остальные элементы – арабскими.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Порядковый номер элемента проставляют на полке линии-выноски. Под полкой линии-выноски указывают основные характеристики и параметры кинематического элемента.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9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2.703-68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схемах следует указывать следующие характеристики и параметры элементов кинематических схем:</w:t>
      </w:r>
    </w:p>
    <w:p w:rsidR="001809F2" w:rsidRPr="00015688" w:rsidRDefault="001809F2" w:rsidP="001809F2">
      <w:pPr>
        <w:numPr>
          <w:ilvl w:val="0"/>
          <w:numId w:val="1"/>
        </w:numPr>
        <w:spacing w:after="27" w:line="240" w:lineRule="auto"/>
        <w:ind w:left="43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движения – наименование, тип, характеристика;</w:t>
      </w:r>
    </w:p>
    <w:p w:rsidR="001809F2" w:rsidRPr="00015688" w:rsidRDefault="001809F2" w:rsidP="001809F2">
      <w:pPr>
        <w:numPr>
          <w:ilvl w:val="0"/>
          <w:numId w:val="1"/>
        </w:numPr>
        <w:spacing w:after="27" w:line="240" w:lineRule="auto"/>
        <w:ind w:left="43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шкив ременной передачи – диаметр шкива;</w:t>
      </w:r>
    </w:p>
    <w:p w:rsidR="001809F2" w:rsidRPr="00015688" w:rsidRDefault="001809F2" w:rsidP="001809F2">
      <w:pPr>
        <w:numPr>
          <w:ilvl w:val="0"/>
          <w:numId w:val="1"/>
        </w:numPr>
        <w:spacing w:after="27" w:line="240" w:lineRule="auto"/>
        <w:ind w:left="43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зубчатое колесо – число зубьев, модуль, а для косозубых колес – также направление и угол наклона зубьев;</w:t>
      </w:r>
    </w:p>
    <w:p w:rsidR="001809F2" w:rsidRPr="00015688" w:rsidRDefault="001809F2" w:rsidP="001809F2">
      <w:pPr>
        <w:numPr>
          <w:ilvl w:val="0"/>
          <w:numId w:val="1"/>
        </w:numPr>
        <w:spacing w:after="27" w:line="240" w:lineRule="auto"/>
        <w:ind w:left="43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червяк – модуль осевой, число заходов;</w:t>
      </w:r>
    </w:p>
    <w:p w:rsidR="001809F2" w:rsidRDefault="001809F2" w:rsidP="001809F2">
      <w:pPr>
        <w:numPr>
          <w:ilvl w:val="0"/>
          <w:numId w:val="1"/>
        </w:numPr>
        <w:spacing w:after="27" w:line="240" w:lineRule="auto"/>
        <w:ind w:left="43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ходовой винт – ход винтовой линии, число заходов, надпись «лев</w:t>
      </w:r>
      <w:proofErr w:type="gram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</w:t>
      </w:r>
      <w:proofErr w:type="gramEnd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 xml:space="preserve">только для левых </w:t>
      </w:r>
      <w:proofErr w:type="spellStart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резьб</w:t>
      </w:r>
      <w:proofErr w:type="spellEnd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п.</w:t>
      </w:r>
    </w:p>
    <w:p w:rsidR="001809F2" w:rsidRPr="00015688" w:rsidRDefault="001809F2" w:rsidP="001809F2">
      <w:pPr>
        <w:spacing w:after="27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9F2" w:rsidRPr="00015688" w:rsidRDefault="001809F2" w:rsidP="001809F2">
      <w:pPr>
        <w:spacing w:after="0" w:line="240" w:lineRule="auto"/>
        <w:ind w:firstLine="217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Гидравлические и пневматические принципиальные схемы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выполнения гидравлических и пневматических схем устанавливает </w:t>
      </w:r>
      <w:hyperlink r:id="rId10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2.704-76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Условные графические обозначения элементов, применяемых в этих схемах, выполняют по </w:t>
      </w:r>
      <w:hyperlink r:id="rId11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2.780-96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2.781-96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2.784-96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элемент или устройство, входящее в изделие и изображенное на схеме, имеет позиционное обозначение, состоящее из прописной буквы русского алфавита и цифры.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Буквы и цифры выполняют одним размером стандартного шрифта.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Буквенное обозначение состоит из одной или двух букв: начальных или характерных в названии элемента. Например, бак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клапан обратный – </w:t>
      </w:r>
      <w:proofErr w:type="gram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п.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буквенных обозначений помещена в обязательном приложении к </w:t>
      </w:r>
      <w:hyperlink r:id="rId14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2.704-76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«Правила выполнения гидравлических и пневматических схем».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proofErr w:type="spell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гидробак</w:t>
      </w:r>
      <w:proofErr w:type="spell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</w:t>
      </w:r>
      <w:proofErr w:type="spell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</w:t>
      </w:r>
      <w:proofErr w:type="spellStart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пневмо</w:t>
      </w:r>
      <w:proofErr w:type="spellEnd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клапан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</w:t>
      </w:r>
      <w:proofErr w:type="spell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</w:t>
      </w:r>
      <w:proofErr w:type="spellStart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пневмо</w:t>
      </w:r>
      <w:proofErr w:type="spellEnd"/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клапан предохранительный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КП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фильтр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насос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п.</w:t>
      </w:r>
      <w:proofErr w:type="gramEnd"/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номер, входящий в цифровое обозначение элемента, назначается с единицы в пределах группы одинаковых элементов с одинаковыми буквенными обозначениями.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Фильтр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proofErr w:type="gram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Ф2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п.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Порядковые номера обозначаются обычно в зависимости от расположения элементов на схеме – сверху вниз и слева направо. Позиционное обозначение наносят на схеме рядом, справа или над условным графическим изображением элемента.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об элементах записываются в стандартной таблице перечня элементов над основной надписью. Если вся таблица перечня не помещается над основной надписью схемы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(много элементов)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ее выполняют на отдельном листе формата </w:t>
      </w:r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и устройства изображают на схемах, как правило, в исходном положении. Например, пружины изображают в состоянии предварительного сжатия, обратный клапан – в закрытом положении и т. п.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связи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(трубопроводы)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схемах обозначают порядковыми номерами, начиная с единицы, которые на схеме проставляют около концов изображения этих линий. На линиях связи допускается указывать направление потока рабочей среды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(жидкости, воздуха)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треугольников. Если линия связи представляет собой внутренний канал в каком-либо элементе, то перед порядковым номером линии связи через точку ставится номер этого элемента.</w:t>
      </w:r>
    </w:p>
    <w:p w:rsidR="001809F2" w:rsidRPr="00015688" w:rsidRDefault="001809F2" w:rsidP="001809F2">
      <w:pPr>
        <w:spacing w:after="0" w:line="240" w:lineRule="auto"/>
        <w:ind w:firstLine="217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01568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Электрические принципиальные схемы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схемы имеют классификацию, термины и определения, которые устанавливает </w:t>
      </w:r>
      <w:hyperlink r:id="rId15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2.701- 84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выполняются в соответствии с </w:t>
      </w:r>
      <w:hyperlink r:id="rId16" w:tgtFrame="_blank" w:history="1">
        <w:r w:rsidRPr="00015688">
          <w:rPr>
            <w:rFonts w:ascii="Times New Roman" w:eastAsia="Times New Roman" w:hAnsi="Times New Roman" w:cs="Times New Roman"/>
            <w:i/>
            <w:iCs/>
            <w:color w:val="336633"/>
            <w:sz w:val="24"/>
            <w:szCs w:val="24"/>
            <w:lang w:eastAsia="ru-RU"/>
          </w:rPr>
          <w:t>ГОСТ 2.702-75</w:t>
        </w:r>
      </w:hyperlink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«Схемы электрические. Общие требования к выполнению».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значительное число стандартов, содержащих условные графические обозначения элементов, применяемых в электрических схемах. На схеме рекомендуется указывать характеристики входных и выходных цепей изделия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(род тока, напряжение, частота и т. п.)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Схемы вычерчиваются для изделий, находящихся в отключенном положении.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элемент, входящий в изделие и изображенный на схеме, имеет буквенно-цифровое позиционное обозначение, составленного из буквы и порядкового номера, стоящего после буквы.</w:t>
      </w:r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устанавливают буквенно-цифровые обозначения для наиболее распространенных элементов.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резистор –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конденсатор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катушка индуктивности или дроссель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амперметр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вольтметр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VP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(мотор)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батарея аккумуляторная или гальваническая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GB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выключатель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(переключатель, ключ, контроллер, рубильник и т. п.)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генератор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транзистор и диод полупроводниковый, предохранительное устройство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VD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предохранитель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трансформатор 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электромагнит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(или муфта электромагнитная)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Y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09F2" w:rsidRPr="00015688" w:rsidRDefault="001809F2" w:rsidP="001809F2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 номера элементов присваивают, начиная с единицы в пределах групп элементов с одинаковым буквенным обозначением, например,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В2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5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В3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 Если в изделие входит только один элемент данной группы, то порядковый номер в его позиционном обозначении может не указываться. Цифры порядковых номеров элементов и их буквенные позиционные обозначения выполняются шрифтом одного размера.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Позиционные обозначения заносятся в перечень элементов; последовательность и порядок записи позиционных обозначений устанавливает</w:t>
      </w:r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ГОСТ 2.701-81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8FD" w:rsidRDefault="00D718FD" w:rsidP="001809F2"/>
    <w:sectPr w:rsidR="00D718FD" w:rsidSect="00D7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B50"/>
    <w:multiLevelType w:val="multilevel"/>
    <w:tmpl w:val="5A1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9F2"/>
    <w:rsid w:val="001809F2"/>
    <w:rsid w:val="00D7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023" TargetMode="External"/><Relationship Id="rId13" Type="http://schemas.openxmlformats.org/officeDocument/2006/relationships/hyperlink" Target="http://docs.cntd.ru/document/gost-2-784-96-esk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gost-2-703-2011-eskd" TargetMode="External"/><Relationship Id="rId12" Type="http://schemas.openxmlformats.org/officeDocument/2006/relationships/hyperlink" Target="http://docs.cntd.ru/document/12000070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gost-2-702-75-esk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058" TargetMode="External"/><Relationship Id="rId11" Type="http://schemas.openxmlformats.org/officeDocument/2006/relationships/hyperlink" Target="http://docs.cntd.ru/document/gost-2-780-96-eskd" TargetMode="External"/><Relationship Id="rId5" Type="http://schemas.openxmlformats.org/officeDocument/2006/relationships/hyperlink" Target="http://docs.cntd.ru/document/1200001732" TargetMode="External"/><Relationship Id="rId15" Type="http://schemas.openxmlformats.org/officeDocument/2006/relationships/hyperlink" Target="http://docs.cntd.ru/document/gost-2-701-84-eskd" TargetMode="External"/><Relationship Id="rId10" Type="http://schemas.openxmlformats.org/officeDocument/2006/relationships/hyperlink" Target="http://docs.cntd.ru/document/gost-2-704-76-esk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gost-2-703-2011-eskd" TargetMode="External"/><Relationship Id="rId14" Type="http://schemas.openxmlformats.org/officeDocument/2006/relationships/hyperlink" Target="http://docs.cntd.ru/document/gost-2-704-76-es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2020-06-01T08:04:00Z</dcterms:created>
  <dcterms:modified xsi:type="dcterms:W3CDTF">2020-06-01T08:07:00Z</dcterms:modified>
</cp:coreProperties>
</file>